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03683694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1F5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551F5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6C5F87">
        <w:rPr>
          <w:rFonts w:eastAsia="Batang" w:cs="Arial"/>
          <w:b/>
          <w:bCs/>
          <w:sz w:val="24"/>
          <w:szCs w:val="24"/>
          <w:lang w:val="en-US"/>
        </w:rPr>
        <w:t>94</w:t>
      </w:r>
      <w:r w:rsidR="00D23035">
        <w:rPr>
          <w:rFonts w:eastAsia="Batang" w:cs="Arial"/>
          <w:b/>
          <w:bCs/>
          <w:sz w:val="24"/>
          <w:szCs w:val="24"/>
          <w:lang w:val="en-US"/>
        </w:rPr>
        <w:t>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9D5606" w:rsidRPr="009D5606">
        <w:rPr>
          <w:b/>
          <w:sz w:val="24"/>
          <w:szCs w:val="24"/>
          <w:lang w:eastAsia="ko-KR"/>
        </w:rPr>
        <w:t>R1-181088</w:t>
      </w:r>
      <w:r w:rsidR="009D5606">
        <w:rPr>
          <w:b/>
          <w:sz w:val="24"/>
          <w:szCs w:val="24"/>
          <w:lang w:eastAsia="ko-KR"/>
        </w:rPr>
        <w:t>9</w:t>
      </w:r>
    </w:p>
    <w:bookmarkEnd w:id="0"/>
    <w:bookmarkEnd w:id="1"/>
    <w:p w14:paraId="6D2861AA" w14:textId="1BD1C8EB" w:rsidR="00B720F1" w:rsidRDefault="006C5F87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6C5F87">
        <w:rPr>
          <w:rFonts w:ascii="Arial" w:eastAsia="MS Mincho" w:hAnsi="Arial" w:cs="Arial"/>
          <w:b/>
          <w:bCs/>
          <w:sz w:val="24"/>
          <w:lang w:val="en-US"/>
        </w:rPr>
        <w:t>Chengdu, China, 8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12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October 2018</w:t>
      </w:r>
      <w:r w:rsidR="00B720F1" w:rsidRPr="00267B3E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1C520BF9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>Preliminary SLS evaluation on Type II overhead reduction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D6D40DC" w14:textId="77777777" w:rsidR="002D6E3A" w:rsidRDefault="002D6E3A" w:rsidP="002D6E3A">
      <w:pPr>
        <w:spacing w:after="60"/>
        <w:rPr>
          <w:lang w:val="en-US"/>
        </w:rPr>
      </w:pPr>
      <w:r w:rsidRPr="00857CDE">
        <w:rPr>
          <w:lang w:val="en-US"/>
        </w:rPr>
        <w:t>The objectiv</w:t>
      </w:r>
      <w:r>
        <w:rPr>
          <w:lang w:val="en-US"/>
        </w:rPr>
        <w:t>e Rel. 16 NR MIMO WID includes the following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E3A" w14:paraId="7A961291" w14:textId="77777777" w:rsidTr="00AA1CD6">
        <w:tc>
          <w:tcPr>
            <w:tcW w:w="9629" w:type="dxa"/>
          </w:tcPr>
          <w:p w14:paraId="535DFC1B" w14:textId="77777777" w:rsidR="002D6E3A" w:rsidRPr="00401C76" w:rsidRDefault="002D6E3A" w:rsidP="00AA1CD6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color w:val="000000"/>
                <w:lang w:eastAsia="ko-KR"/>
              </w:rPr>
            </w:pPr>
            <w:r w:rsidRPr="00401C76">
              <w:rPr>
                <w:color w:val="000000"/>
                <w:lang w:eastAsia="ko-KR"/>
              </w:rPr>
              <w:t>Extend specification support in the following areas [RAN1]</w:t>
            </w:r>
          </w:p>
          <w:p w14:paraId="579D7CE3" w14:textId="77777777" w:rsidR="002D6E3A" w:rsidRPr="00401C76" w:rsidRDefault="002D6E3A" w:rsidP="00AA1CD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lang w:eastAsia="ko-KR"/>
              </w:rPr>
            </w:pPr>
            <w:r w:rsidRPr="00401C76">
              <w:rPr>
                <w:color w:val="000000"/>
                <w:lang w:eastAsia="ko-KR"/>
              </w:rPr>
              <w:t>Enhancements on MU-MIMO support:</w:t>
            </w:r>
          </w:p>
          <w:p w14:paraId="4FCCEB94" w14:textId="77777777" w:rsidR="002D6E3A" w:rsidRPr="004E1B43" w:rsidRDefault="002D6E3A" w:rsidP="00AA1CD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highlight w:val="yellow"/>
                <w:lang w:eastAsia="ko-KR"/>
              </w:rPr>
            </w:pPr>
            <w:r w:rsidRPr="004E1B43">
              <w:rPr>
                <w:highlight w:val="yellow"/>
                <w:lang w:eastAsia="ko-KR"/>
              </w:rPr>
              <w:t>Specify overhead reduction, based on Type II CSI feedback</w:t>
            </w:r>
            <w:r w:rsidRPr="004E1B43">
              <w:rPr>
                <w:rFonts w:hint="eastAsia"/>
                <w:highlight w:val="yellow"/>
                <w:lang w:eastAsia="ko-KR"/>
              </w:rPr>
              <w:t xml:space="preserve">, taking into account the </w:t>
            </w:r>
            <w:proofErr w:type="spellStart"/>
            <w:r w:rsidRPr="004E1B43">
              <w:rPr>
                <w:rFonts w:hint="eastAsia"/>
                <w:highlight w:val="yellow"/>
                <w:lang w:eastAsia="ko-KR"/>
              </w:rPr>
              <w:t>tradeoff</w:t>
            </w:r>
            <w:proofErr w:type="spellEnd"/>
            <w:r w:rsidRPr="004E1B43">
              <w:rPr>
                <w:rFonts w:hint="eastAsia"/>
                <w:highlight w:val="yellow"/>
                <w:lang w:eastAsia="ko-KR"/>
              </w:rPr>
              <w:t xml:space="preserve"> between performance and overhead </w:t>
            </w:r>
          </w:p>
          <w:p w14:paraId="037661D0" w14:textId="77777777" w:rsidR="002D6E3A" w:rsidRPr="002D6E3A" w:rsidRDefault="002D6E3A" w:rsidP="00AA1CD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lang w:eastAsia="ko-KR"/>
              </w:rPr>
            </w:pPr>
            <w:r w:rsidRPr="002D6E3A">
              <w:rPr>
                <w:rFonts w:hint="eastAsia"/>
                <w:lang w:eastAsia="ko-KR"/>
              </w:rPr>
              <w:t>P</w:t>
            </w:r>
            <w:r w:rsidRPr="002D6E3A">
              <w:rPr>
                <w:rFonts w:hint="eastAsia"/>
              </w:rPr>
              <w:t xml:space="preserve">erform study </w:t>
            </w:r>
            <w:r w:rsidRPr="002D6E3A">
              <w:t xml:space="preserve">and, if needed, specify </w:t>
            </w:r>
            <w:r w:rsidRPr="002D6E3A">
              <w:rPr>
                <w:lang w:eastAsia="ko-KR"/>
              </w:rPr>
              <w:t xml:space="preserve">extension of Type II CSI feedback to rank &gt;2 </w:t>
            </w:r>
            <w:r w:rsidRPr="002D6E3A">
              <w:rPr>
                <w:rFonts w:hint="eastAsia"/>
                <w:lang w:eastAsia="ko-KR"/>
              </w:rPr>
              <w:t xml:space="preserve"> </w:t>
            </w:r>
          </w:p>
          <w:p w14:paraId="6F932241" w14:textId="77777777" w:rsidR="002D6E3A" w:rsidRPr="00010D63" w:rsidRDefault="002D6E3A" w:rsidP="00AA1CD6">
            <w:pPr>
              <w:pStyle w:val="ListParagraph"/>
              <w:numPr>
                <w:ilvl w:val="1"/>
                <w:numId w:val="27"/>
              </w:numPr>
              <w:spacing w:before="0" w:line="240" w:lineRule="auto"/>
              <w:ind w:leftChars="0"/>
              <w:jc w:val="left"/>
              <w:rPr>
                <w:rFonts w:ascii="Times" w:eastAsia="MS Mincho" w:hAnsi="Times"/>
                <w:lang w:eastAsia="ja-JP"/>
              </w:rPr>
            </w:pPr>
            <w:r>
              <w:rPr>
                <w:lang w:eastAsia="ko-KR"/>
              </w:rPr>
              <w:t>…</w:t>
            </w:r>
          </w:p>
        </w:tc>
      </w:tr>
    </w:tbl>
    <w:p w14:paraId="3905087B" w14:textId="1AB5C2CC" w:rsidR="00AD6148" w:rsidRPr="008C3FDD" w:rsidRDefault="002D6E3A" w:rsidP="00E701C2">
      <w:pPr>
        <w:pStyle w:val="maintext"/>
        <w:spacing w:after="120"/>
        <w:ind w:firstLineChars="0" w:firstLine="0"/>
      </w:pPr>
      <w:r>
        <w:t>This contribution provides simulation results for the Type II CSI overhead reduction scheme (for the highlighted text above) proposed in the companion contribution [2].</w:t>
      </w:r>
      <w:r w:rsidR="00996F83">
        <w:t xml:space="preserve"> </w:t>
      </w:r>
    </w:p>
    <w:p w14:paraId="6E09FE63" w14:textId="7834E8BB" w:rsidR="0022275E" w:rsidRDefault="00566458" w:rsidP="00AD6148">
      <w:pPr>
        <w:pStyle w:val="Heading1"/>
      </w:pPr>
      <w:r>
        <w:t xml:space="preserve">Simulation results </w:t>
      </w:r>
      <w:r w:rsidR="00EE0D05">
        <w:t>for</w:t>
      </w:r>
      <w:r>
        <w:t xml:space="preserve"> Type II CSI overhead r</w:t>
      </w:r>
      <w:r w:rsidR="0022275E">
        <w:t>eduction</w:t>
      </w:r>
    </w:p>
    <w:p w14:paraId="7C8BA751" w14:textId="04404819" w:rsidR="00EE0D05" w:rsidRDefault="00EE0D05" w:rsidP="001844C1">
      <w:pPr>
        <w:ind w:right="14"/>
      </w:pPr>
      <w:r>
        <w:t xml:space="preserve">For performance evaluation of the proposed Type II </w:t>
      </w:r>
      <w:r w:rsidR="001844C1">
        <w:t>overhead reduction scheme in [2]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UMi</w:t>
      </w:r>
      <w:proofErr w:type="spellEnd"/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are provided for 16 antenna ports </w:t>
      </w:r>
      <w:r w:rsidRPr="004E5326">
        <w:t>with</w:t>
      </w:r>
      <w:r w:rsidRPr="004E5326">
        <w:rPr>
          <w:rFonts w:hint="eastAsia"/>
        </w:rPr>
        <w:t xml:space="preserve"> </w:t>
      </w:r>
      <w:r w:rsidRPr="004E5326">
        <w:t>(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>
        <w:t>4, 2</w:t>
      </w:r>
      <w:r w:rsidRPr="004E5326">
        <w:t>)</w:t>
      </w:r>
      <w:r>
        <w:t>, where</w:t>
      </w:r>
      <w:r w:rsidRPr="004E5326">
        <w:t xml:space="preserve"> we assume that the first dimension is horizontal and the second dimension is vertical</w:t>
      </w:r>
      <w:r>
        <w:t xml:space="preserve">. The relevant simulation parameters are enlisted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5734A6">
        <w:t xml:space="preserve">Table </w:t>
      </w:r>
      <w:r w:rsidR="005734A6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>
        <w:t xml:space="preserve">. </w:t>
      </w:r>
    </w:p>
    <w:p w14:paraId="77B6B610" w14:textId="5C6DFB66" w:rsidR="008F1308" w:rsidRPr="008F1308" w:rsidRDefault="008F1308" w:rsidP="001844C1">
      <w:pPr>
        <w:ind w:right="14"/>
        <w:rPr>
          <w:i/>
          <w:u w:val="single"/>
        </w:rPr>
      </w:pPr>
      <w:r w:rsidRPr="00BE3AF2">
        <w:rPr>
          <w:i/>
          <w:u w:val="single"/>
        </w:rPr>
        <w:t>Evaluation 1:</w:t>
      </w:r>
      <w:r>
        <w:rPr>
          <w:i/>
          <w:u w:val="single"/>
        </w:rPr>
        <w:t xml:space="preserve"> </w:t>
      </w:r>
      <w:r w:rsidR="00E90D54">
        <w:rPr>
          <w:i/>
          <w:u w:val="single"/>
        </w:rPr>
        <w:t xml:space="preserve">M value (number of beams </w:t>
      </w:r>
      <w:r w:rsidR="00362C5E">
        <w:rPr>
          <w:i/>
          <w:u w:val="single"/>
        </w:rPr>
        <w:t xml:space="preserve">for </w:t>
      </w:r>
      <w:r w:rsidR="00E90D54">
        <w:rPr>
          <w:i/>
          <w:u w:val="single"/>
        </w:rPr>
        <w:t>frequency domain compression)</w:t>
      </w:r>
    </w:p>
    <w:p w14:paraId="6A254FF6" w14:textId="7B478A1E" w:rsidR="00D27F3C" w:rsidRPr="00FD0CCB" w:rsidRDefault="00E90D54" w:rsidP="00D27F3C">
      <w:pPr>
        <w:rPr>
          <w:lang w:val="en-US" w:eastAsia="ko-KR"/>
        </w:rPr>
      </w:pPr>
      <w:r>
        <w:rPr>
          <w:lang w:val="en-US" w:eastAsia="ko-KR"/>
        </w:rPr>
        <w:t xml:space="preserve">We first provide simulation results for different </w:t>
      </w:r>
      <w:r w:rsidRPr="00E90D54">
        <w:rPr>
          <w:i/>
          <w:lang w:val="en-US" w:eastAsia="ko-KR"/>
        </w:rPr>
        <w:t>M</w:t>
      </w:r>
      <w:r>
        <w:rPr>
          <w:lang w:val="en-US" w:eastAsia="ko-KR"/>
        </w:rPr>
        <w:t xml:space="preserve"> values (</w:t>
      </w:r>
      <w:r w:rsidRPr="00E90D54">
        <w:rPr>
          <w:lang w:val="en-US" w:eastAsia="ko-KR"/>
        </w:rPr>
        <w:t xml:space="preserve">number of beams </w:t>
      </w:r>
      <w:r w:rsidR="00362C5E">
        <w:rPr>
          <w:lang w:val="en-US" w:eastAsia="ko-KR"/>
        </w:rPr>
        <w:t xml:space="preserve">for </w:t>
      </w:r>
      <w:r w:rsidRPr="00E90D54">
        <w:rPr>
          <w:lang w:val="en-US" w:eastAsia="ko-KR"/>
        </w:rPr>
        <w:t>frequency domain compression</w:t>
      </w:r>
      <w:r>
        <w:rPr>
          <w:lang w:val="en-US" w:eastAsia="ko-KR"/>
        </w:rPr>
        <w:t xml:space="preserve">) in order to determine </w:t>
      </w:r>
      <w:r w:rsidR="00362C5E">
        <w:rPr>
          <w:lang w:val="en-US" w:eastAsia="ko-KR"/>
        </w:rPr>
        <w:t>an</w:t>
      </w:r>
      <w:r>
        <w:rPr>
          <w:lang w:val="en-US" w:eastAsia="ko-KR"/>
        </w:rPr>
        <w:t xml:space="preserve"> </w:t>
      </w:r>
      <w:r w:rsidRPr="00362C5E">
        <w:rPr>
          <w:i/>
          <w:lang w:val="en-US" w:eastAsia="ko-KR"/>
        </w:rPr>
        <w:t>M</w:t>
      </w:r>
      <w:r>
        <w:rPr>
          <w:lang w:val="en-US" w:eastAsia="ko-KR"/>
        </w:rPr>
        <w:t xml:space="preserve"> value which achieves a reasonable performance-overhead tradeoff.</w:t>
      </w:r>
      <w:r w:rsidR="00227E1D">
        <w:rPr>
          <w:lang w:val="en-US" w:eastAsia="ko-KR"/>
        </w:rPr>
        <w:t xml:space="preserve">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are provided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5734A6">
        <w:t xml:space="preserve">Figure </w:t>
      </w:r>
      <w:r w:rsidR="005734A6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8F1308">
        <w:rPr>
          <w:lang w:val="en-US" w:eastAsia="ko-KR"/>
        </w:rPr>
        <w:t xml:space="preserve"> 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227E1D">
        <w:rPr>
          <w:lang w:val="en-US" w:eastAsia="ko-KR"/>
        </w:rPr>
        <w:t xml:space="preserve">, where </w:t>
      </w:r>
      <w:r w:rsidR="00714C59">
        <w:rPr>
          <w:lang w:val="en-US" w:eastAsia="ko-KR"/>
        </w:rPr>
        <w:t xml:space="preserve">the </w:t>
      </w:r>
      <w:r w:rsidR="00227E1D">
        <w:rPr>
          <w:lang w:val="en-US" w:eastAsia="ko-KR"/>
        </w:rPr>
        <w:t xml:space="preserve">coefficient matrix </w:t>
      </w:r>
      <w:r w:rsidR="00227E1D" w:rsidRPr="00227E1D">
        <w:rPr>
          <w:b/>
          <w:i/>
          <w:lang w:val="en-US" w:eastAsia="ko-KR"/>
        </w:rPr>
        <w:t>C</w:t>
      </w:r>
      <w:r w:rsidR="00227E1D">
        <w:rPr>
          <w:lang w:val="en-US" w:eastAsia="ko-KR"/>
        </w:rPr>
        <w:t xml:space="preserve"> is un-quantized</w:t>
      </w:r>
      <w:r w:rsidR="00D27F3C">
        <w:rPr>
          <w:lang w:val="en-US" w:eastAsia="ko-KR"/>
        </w:rPr>
        <w:t xml:space="preserve">. </w:t>
      </w:r>
    </w:p>
    <w:p w14:paraId="3479803C" w14:textId="763A9CF3" w:rsidR="00D27F3C" w:rsidRPr="004D4F7F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>#SBs = K = 13 with SB size = 4</w:t>
      </w:r>
    </w:p>
    <w:p w14:paraId="41A40A7E" w14:textId="6DEB0F6B" w:rsidR="0026265D" w:rsidRPr="004D4F7F" w:rsidRDefault="0026265D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#antenna ports at </w:t>
      </w:r>
      <w:proofErr w:type="spellStart"/>
      <w:r w:rsidRPr="004D4F7F">
        <w:t>gNB</w:t>
      </w:r>
      <w:proofErr w:type="spellEnd"/>
      <w:r w:rsidRPr="004D4F7F">
        <w:t>, N = 16</w:t>
      </w:r>
    </w:p>
    <w:p w14:paraId="06D8D241" w14:textId="7239AF3C" w:rsidR="00D27F3C" w:rsidRPr="004D4F7F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>Spatial compression: L = 4</w:t>
      </w:r>
      <w:r w:rsidR="00362C5E" w:rsidRPr="004D4F7F">
        <w:t xml:space="preserve"> DFT beams</w:t>
      </w:r>
    </w:p>
    <w:p w14:paraId="4706AD74" w14:textId="1B52E1DD" w:rsidR="00D27F3C" w:rsidRPr="004D4F7F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Frequency compression: M = </w:t>
      </w:r>
      <w:r w:rsidR="00362C5E" w:rsidRPr="004D4F7F">
        <w:t xml:space="preserve">2, </w:t>
      </w:r>
      <w:r w:rsidRPr="004D4F7F">
        <w:t>4, 8 DFT beams</w:t>
      </w:r>
    </w:p>
    <w:p w14:paraId="77D08005" w14:textId="7176728B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 xml:space="preserve">As reference, no frequency domain compression (i.e., </w:t>
      </w:r>
      <w:r w:rsidRPr="006D149F">
        <w:rPr>
          <w:i/>
          <w:lang w:val="en-US" w:eastAsia="ko-KR"/>
        </w:rPr>
        <w:t>M</w:t>
      </w:r>
      <w:r>
        <w:rPr>
          <w:lang w:val="en-US" w:eastAsia="ko-KR"/>
        </w:rPr>
        <w:t xml:space="preserve"> = </w:t>
      </w:r>
      <w:r w:rsidRPr="00714C59">
        <w:rPr>
          <w:i/>
          <w:lang w:val="en-US" w:eastAsia="ko-KR"/>
        </w:rPr>
        <w:t>K</w:t>
      </w:r>
      <w:r>
        <w:rPr>
          <w:lang w:val="en-US" w:eastAsia="ko-KR"/>
        </w:rPr>
        <w:t xml:space="preserve"> = #SBs = 13) is considered. </w:t>
      </w:r>
      <w:r w:rsidR="00227E1D" w:rsidRPr="00227E1D">
        <w:rPr>
          <w:lang w:val="en-US" w:eastAsia="ko-KR"/>
        </w:rPr>
        <w:t>We can observe the following.</w:t>
      </w:r>
    </w:p>
    <w:p w14:paraId="32203052" w14:textId="7398EB99" w:rsidR="00D27F3C" w:rsidRDefault="00D27F3C" w:rsidP="00D27F3C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 w:rsidR="00E90D54"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  <w:r>
        <w:rPr>
          <w:i/>
          <w:lang w:val="en-US" w:eastAsia="ko-KR"/>
        </w:rPr>
        <w:t xml:space="preserve"> </w:t>
      </w:r>
      <w:r w:rsidR="00714C59">
        <w:rPr>
          <w:i/>
          <w:lang w:val="en-US" w:eastAsia="ko-KR"/>
        </w:rPr>
        <w:t>The proposed</w:t>
      </w:r>
      <w:r>
        <w:rPr>
          <w:i/>
          <w:lang w:val="en-US" w:eastAsia="ko-KR"/>
        </w:rPr>
        <w:t xml:space="preserve"> frequency domain compression with M = 8 </w:t>
      </w:r>
      <w:r w:rsidR="00227E1D">
        <w:rPr>
          <w:i/>
          <w:lang w:val="en-US" w:eastAsia="ko-KR"/>
        </w:rPr>
        <w:t xml:space="preserve">DFT beams </w:t>
      </w:r>
      <w:r>
        <w:rPr>
          <w:i/>
          <w:lang w:val="en-US" w:eastAsia="ko-KR"/>
        </w:rPr>
        <w:t>achieves good performance-overhead tradeoff – when compared with no frequency domain compression, ~38% overhead can be reduced with a small performance loss (~3% in avg. UPT).</w:t>
      </w:r>
    </w:p>
    <w:p w14:paraId="23D85016" w14:textId="3C851264" w:rsidR="00E90D54" w:rsidRDefault="00E90D54" w:rsidP="00D27F3C">
      <w:pPr>
        <w:rPr>
          <w:i/>
          <w:lang w:val="en-US" w:eastAsia="ko-KR"/>
        </w:rPr>
      </w:pPr>
    </w:p>
    <w:p w14:paraId="581F5B39" w14:textId="77777777" w:rsidR="00E90D54" w:rsidRPr="00960801" w:rsidRDefault="00E90D54" w:rsidP="00D27F3C">
      <w:pPr>
        <w:rPr>
          <w:b/>
          <w:i/>
          <w:lang w:val="en-US" w:eastAsia="ko-KR"/>
        </w:rPr>
      </w:pP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77777777" w:rsidR="00D27F3C" w:rsidRDefault="00D27F3C" w:rsidP="00D27F3C">
      <w:pPr>
        <w:keepNext/>
        <w:jc w:val="center"/>
      </w:pPr>
      <w:r w:rsidRPr="00B40276">
        <w:rPr>
          <w:i/>
          <w:noProof/>
          <w:lang w:val="en-US"/>
        </w:rPr>
        <w:lastRenderedPageBreak/>
        <w:drawing>
          <wp:inline distT="0" distB="0" distL="0" distR="0" wp14:anchorId="4C61C6E3" wp14:editId="2EFDDC3E">
            <wp:extent cx="5410835" cy="3055620"/>
            <wp:effectExtent l="0" t="0" r="18415" b="1143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CDB192F" w14:textId="08D2F6BD" w:rsidR="00D27F3C" w:rsidRPr="00B40276" w:rsidRDefault="00D27F3C" w:rsidP="00D27F3C">
      <w:pPr>
        <w:pStyle w:val="Caption"/>
        <w:jc w:val="center"/>
        <w:rPr>
          <w:i/>
          <w:lang w:val="en-US" w:eastAsia="ko-KR"/>
        </w:rPr>
      </w:pPr>
      <w:bookmarkStart w:id="4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34A6">
        <w:rPr>
          <w:noProof/>
        </w:rPr>
        <w:t>1</w:t>
      </w:r>
      <w:r>
        <w:fldChar w:fldCharType="end"/>
      </w:r>
      <w:bookmarkEnd w:id="4"/>
      <w:r>
        <w:t xml:space="preserve">: Performance </w:t>
      </w:r>
      <w:r w:rsidR="00362C5E">
        <w:t xml:space="preserve">vs. </w:t>
      </w:r>
      <w:r>
        <w:t>overhead trade</w:t>
      </w:r>
      <w:r w:rsidR="00362C5E">
        <w:t>-</w:t>
      </w:r>
      <w:r>
        <w:t>off</w:t>
      </w:r>
      <w:r w:rsidR="00362C5E">
        <w:t xml:space="preserve"> for different </w:t>
      </w:r>
      <w:r w:rsidR="00362C5E" w:rsidRPr="00362C5E">
        <w:rPr>
          <w:i/>
        </w:rPr>
        <w:t>M</w:t>
      </w:r>
      <w:r w:rsidR="00362C5E">
        <w:t xml:space="preserve"> values</w:t>
      </w:r>
    </w:p>
    <w:p w14:paraId="23F9F99F" w14:textId="09A716E0" w:rsidR="0022275E" w:rsidRPr="0022275E" w:rsidRDefault="0022275E" w:rsidP="0022275E">
      <w:pPr>
        <w:rPr>
          <w:lang w:eastAsia="ko-KR"/>
        </w:rPr>
      </w:pPr>
    </w:p>
    <w:p w14:paraId="69906FC6" w14:textId="4908A7F5" w:rsidR="00227E1D" w:rsidRPr="008F1308" w:rsidRDefault="00227E1D" w:rsidP="00227E1D">
      <w:pPr>
        <w:ind w:right="14"/>
        <w:rPr>
          <w:i/>
          <w:u w:val="single"/>
        </w:rPr>
      </w:pPr>
      <w:bookmarkStart w:id="5" w:name="_Ref446598642"/>
      <w:r w:rsidRPr="00BE3AF2">
        <w:rPr>
          <w:i/>
          <w:u w:val="single"/>
        </w:rPr>
        <w:t xml:space="preserve">Evaluation </w:t>
      </w:r>
      <w:r>
        <w:rPr>
          <w:i/>
          <w:u w:val="single"/>
        </w:rPr>
        <w:t>2</w:t>
      </w:r>
      <w:r w:rsidRPr="00BE3AF2">
        <w:rPr>
          <w:i/>
          <w:u w:val="single"/>
        </w:rPr>
        <w:t>:</w:t>
      </w:r>
      <w:r>
        <w:rPr>
          <w:i/>
          <w:u w:val="single"/>
        </w:rPr>
        <w:t xml:space="preserve"> Performance comparison with Rel. 15 Type II</w:t>
      </w:r>
    </w:p>
    <w:p w14:paraId="4A017CC8" w14:textId="4671D9F7" w:rsidR="000D08F4" w:rsidRDefault="00126D2C" w:rsidP="00227E1D">
      <w:pPr>
        <w:rPr>
          <w:lang w:val="en-US" w:eastAsia="ko-KR"/>
        </w:rPr>
      </w:pPr>
      <w:r>
        <w:rPr>
          <w:lang w:val="en-US" w:eastAsia="ko-KR"/>
        </w:rPr>
        <w:t>We next provide evaluation results for the quantized coefficient case</w:t>
      </w:r>
      <w:r w:rsidR="000D08F4">
        <w:rPr>
          <w:lang w:val="en-US" w:eastAsia="ko-KR"/>
        </w:rPr>
        <w:t xml:space="preserve">. The </w:t>
      </w:r>
    </w:p>
    <w:p w14:paraId="0B1510E2" w14:textId="68134A9C" w:rsidR="000D08F4" w:rsidRDefault="000D08F4" w:rsidP="000D08F4">
      <w:pPr>
        <w:pStyle w:val="ListParagraph"/>
        <w:numPr>
          <w:ilvl w:val="0"/>
          <w:numId w:val="29"/>
        </w:numPr>
        <w:ind w:leftChars="0"/>
        <w:rPr>
          <w:lang w:val="en-US" w:eastAsia="ko-KR"/>
        </w:rPr>
      </w:pPr>
      <w:r>
        <w:rPr>
          <w:lang w:val="en-US" w:eastAsia="ko-KR"/>
        </w:rPr>
        <w:t>Proposed frequency compression scheme:</w:t>
      </w:r>
    </w:p>
    <w:p w14:paraId="472CA7E7" w14:textId="77777777" w:rsidR="000D08F4" w:rsidRPr="00FD0CCB" w:rsidRDefault="000D08F4" w:rsidP="000D08F4">
      <w:pPr>
        <w:numPr>
          <w:ilvl w:val="1"/>
          <w:numId w:val="29"/>
        </w:numPr>
        <w:rPr>
          <w:lang w:val="en-US" w:eastAsia="ko-KR"/>
        </w:rPr>
      </w:pPr>
      <w:r w:rsidRPr="00FD0CCB">
        <w:rPr>
          <w:lang w:val="en-US" w:eastAsia="ko-KR"/>
        </w:rPr>
        <w:t xml:space="preserve">Spatial compression: </w:t>
      </w:r>
      <w:r w:rsidRPr="004B7750">
        <w:rPr>
          <w:i/>
          <w:lang w:val="en-US" w:eastAsia="ko-KR"/>
        </w:rPr>
        <w:t>L</w:t>
      </w:r>
      <w:r w:rsidRPr="00FD0CCB">
        <w:rPr>
          <w:lang w:val="en-US" w:eastAsia="ko-KR"/>
        </w:rPr>
        <w:t xml:space="preserve"> = 4</w:t>
      </w:r>
      <w:r>
        <w:rPr>
          <w:lang w:val="en-US" w:eastAsia="ko-KR"/>
        </w:rPr>
        <w:t xml:space="preserve"> DFT beams</w:t>
      </w:r>
    </w:p>
    <w:p w14:paraId="00170A7F" w14:textId="18C3BC17" w:rsidR="000D08F4" w:rsidRDefault="000D08F4" w:rsidP="000D08F4">
      <w:pPr>
        <w:pStyle w:val="ListParagraph"/>
        <w:numPr>
          <w:ilvl w:val="1"/>
          <w:numId w:val="29"/>
        </w:numPr>
        <w:ind w:leftChars="0"/>
        <w:rPr>
          <w:lang w:val="en-US" w:eastAsia="ko-KR"/>
        </w:rPr>
      </w:pPr>
      <w:r w:rsidRPr="00227E1D">
        <w:rPr>
          <w:lang w:val="en-US" w:eastAsia="ko-KR"/>
        </w:rPr>
        <w:t xml:space="preserve">Frequency compression: </w:t>
      </w:r>
      <w:r w:rsidRPr="00227E1D">
        <w:rPr>
          <w:i/>
          <w:lang w:val="en-US" w:eastAsia="ko-KR"/>
        </w:rPr>
        <w:t>M</w:t>
      </w:r>
      <w:r>
        <w:rPr>
          <w:lang w:val="en-US" w:eastAsia="ko-KR"/>
        </w:rPr>
        <w:t xml:space="preserve"> =</w:t>
      </w:r>
      <w:r w:rsidRPr="00227E1D">
        <w:rPr>
          <w:lang w:val="en-US" w:eastAsia="ko-KR"/>
        </w:rPr>
        <w:t xml:space="preserve"> 8 DFT beams</w:t>
      </w:r>
    </w:p>
    <w:p w14:paraId="28136C4A" w14:textId="0CBD8E8B" w:rsidR="000D08F4" w:rsidRDefault="000D08F4" w:rsidP="000D08F4">
      <w:pPr>
        <w:pStyle w:val="ListParagraph"/>
        <w:numPr>
          <w:ilvl w:val="1"/>
          <w:numId w:val="29"/>
        </w:numPr>
        <w:ind w:leftChars="0"/>
        <w:rPr>
          <w:lang w:val="en-US" w:eastAsia="ko-KR"/>
        </w:rPr>
      </w:pPr>
      <w:r>
        <w:rPr>
          <w:lang w:val="en-US" w:eastAsia="ko-KR"/>
        </w:rPr>
        <w:t>Two different coefficient quantization (</w:t>
      </w:r>
      <w:proofErr w:type="spellStart"/>
      <w:r>
        <w:rPr>
          <w:lang w:val="en-US" w:eastAsia="ko-KR"/>
        </w:rPr>
        <w:t>quan</w:t>
      </w:r>
      <w:proofErr w:type="spellEnd"/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coef</w:t>
      </w:r>
      <w:proofErr w:type="spellEnd"/>
      <w:r>
        <w:rPr>
          <w:lang w:val="en-US" w:eastAsia="ko-KR"/>
        </w:rPr>
        <w:t xml:space="preserve"> 1 and </w:t>
      </w:r>
      <w:proofErr w:type="spellStart"/>
      <w:r>
        <w:rPr>
          <w:lang w:val="en-US" w:eastAsia="ko-KR"/>
        </w:rPr>
        <w:t>quan</w:t>
      </w:r>
      <w:proofErr w:type="spellEnd"/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coef</w:t>
      </w:r>
      <w:proofErr w:type="spellEnd"/>
      <w:r>
        <w:rPr>
          <w:lang w:val="en-US" w:eastAsia="ko-KR"/>
        </w:rPr>
        <w:t xml:space="preserve"> 2) are considered. </w:t>
      </w:r>
    </w:p>
    <w:p w14:paraId="255A922D" w14:textId="6525BDD2" w:rsidR="000D08F4" w:rsidRPr="000D08F4" w:rsidRDefault="000D08F4" w:rsidP="000D08F4">
      <w:pPr>
        <w:pStyle w:val="ListParagraph"/>
        <w:numPr>
          <w:ilvl w:val="0"/>
          <w:numId w:val="29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Reference: Rel. 15 Type II CSI with </w:t>
      </w:r>
      <w:r w:rsidRPr="00E37CEB">
        <w:rPr>
          <w:i/>
          <w:lang w:val="en-US" w:eastAsia="ko-KR"/>
        </w:rPr>
        <w:t>L</w:t>
      </w:r>
      <w:r>
        <w:rPr>
          <w:lang w:val="en-US" w:eastAsia="ko-KR"/>
        </w:rPr>
        <w:t xml:space="preserve"> = 4, 8-PSK phase, WB+SB amp</w:t>
      </w:r>
    </w:p>
    <w:p w14:paraId="52D0F329" w14:textId="13B73285" w:rsidR="00E667F6" w:rsidRPr="000D08F4" w:rsidRDefault="000D08F4" w:rsidP="000D08F4">
      <w:pPr>
        <w:rPr>
          <w:lang w:val="en-US" w:eastAsia="ko-KR"/>
        </w:rPr>
      </w:pPr>
      <w:r>
        <w:rPr>
          <w:lang w:val="en-US" w:eastAsia="ko-KR"/>
        </w:rPr>
        <w:t>The results</w:t>
      </w:r>
      <w:r w:rsidR="00227E1D" w:rsidRPr="00FD0CCB">
        <w:rPr>
          <w:lang w:val="en-US" w:eastAsia="ko-KR"/>
        </w:rPr>
        <w:t xml:space="preserve"> are provided in </w:t>
      </w:r>
      <w:r w:rsidR="005734A6">
        <w:rPr>
          <w:lang w:val="en-US" w:eastAsia="ko-KR"/>
        </w:rPr>
        <w:fldChar w:fldCharType="begin"/>
      </w:r>
      <w:r w:rsidR="005734A6">
        <w:rPr>
          <w:lang w:val="en-US" w:eastAsia="ko-KR"/>
        </w:rPr>
        <w:instrText xml:space="preserve"> REF _Ref525821373 \h </w:instrText>
      </w:r>
      <w:r w:rsidR="005734A6">
        <w:rPr>
          <w:lang w:val="en-US" w:eastAsia="ko-KR"/>
        </w:rPr>
      </w:r>
      <w:r w:rsidR="005734A6">
        <w:rPr>
          <w:lang w:val="en-US" w:eastAsia="ko-KR"/>
        </w:rPr>
        <w:fldChar w:fldCharType="separate"/>
      </w:r>
      <w:r w:rsidR="005734A6">
        <w:t xml:space="preserve">Figure </w:t>
      </w:r>
      <w:r w:rsidR="005734A6">
        <w:rPr>
          <w:noProof/>
        </w:rPr>
        <w:t>2</w:t>
      </w:r>
      <w:r w:rsidR="005734A6">
        <w:rPr>
          <w:lang w:val="en-US" w:eastAsia="ko-KR"/>
        </w:rPr>
        <w:fldChar w:fldCharType="end"/>
      </w:r>
      <w:r w:rsidR="00227E1D">
        <w:rPr>
          <w:lang w:val="en-US" w:eastAsia="ko-KR"/>
        </w:rPr>
        <w:t xml:space="preserve">. </w:t>
      </w:r>
      <w:r>
        <w:rPr>
          <w:lang w:val="en-US" w:eastAsia="ko-KR"/>
        </w:rPr>
        <w:t>We can observe the following.</w:t>
      </w:r>
    </w:p>
    <w:p w14:paraId="552B8172" w14:textId="0E79B361" w:rsidR="00E90D54" w:rsidRPr="00E90D54" w:rsidRDefault="00E90D54" w:rsidP="00E90D54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2</w:t>
      </w:r>
      <w:r w:rsidRPr="00960801">
        <w:rPr>
          <w:i/>
          <w:lang w:val="en-US" w:eastAsia="ko-KR"/>
        </w:rPr>
        <w:t>:</w:t>
      </w:r>
      <w:r>
        <w:rPr>
          <w:i/>
          <w:lang w:val="en-US" w:eastAsia="ko-KR"/>
        </w:rPr>
        <w:t xml:space="preserve"> </w:t>
      </w:r>
      <w:r w:rsidR="002C31B6">
        <w:rPr>
          <w:i/>
          <w:lang w:val="en-US" w:eastAsia="ko-KR"/>
        </w:rPr>
        <w:t>W</w:t>
      </w:r>
      <w:r w:rsidR="000D08F4">
        <w:rPr>
          <w:i/>
          <w:lang w:val="en-US" w:eastAsia="ko-KR"/>
        </w:rPr>
        <w:t xml:space="preserve">hen compared with Rel. Type II CSI, the proposed scheme can </w:t>
      </w:r>
      <w:r w:rsidR="008C1C2A">
        <w:rPr>
          <w:i/>
          <w:lang w:val="en-US" w:eastAsia="ko-KR"/>
        </w:rPr>
        <w:t>reduce overhead by ~30% while maintaining similar performance (</w:t>
      </w:r>
      <w:r w:rsidR="008C1C2A" w:rsidRPr="00E90D54">
        <w:rPr>
          <w:i/>
          <w:lang w:val="en-US" w:eastAsia="ko-KR"/>
        </w:rPr>
        <w:t xml:space="preserve">&lt; </w:t>
      </w:r>
      <w:r w:rsidR="008C1C2A">
        <w:rPr>
          <w:i/>
          <w:lang w:val="en-US" w:eastAsia="ko-KR"/>
        </w:rPr>
        <w:t xml:space="preserve">2% loss in avg. </w:t>
      </w:r>
      <w:r w:rsidR="008C1C2A" w:rsidRPr="00E90D54">
        <w:rPr>
          <w:i/>
          <w:lang w:val="en-US" w:eastAsia="ko-KR"/>
        </w:rPr>
        <w:t>performance</w:t>
      </w:r>
      <w:r w:rsidR="008C1C2A">
        <w:rPr>
          <w:i/>
          <w:lang w:val="en-US" w:eastAsia="ko-KR"/>
        </w:rPr>
        <w:t>).</w:t>
      </w:r>
      <w:r w:rsidRPr="00E90D54">
        <w:rPr>
          <w:i/>
          <w:lang w:val="en-US" w:eastAsia="ko-KR"/>
        </w:rPr>
        <w:t xml:space="preserve"> </w:t>
      </w:r>
    </w:p>
    <w:p w14:paraId="7D08C99D" w14:textId="77777777" w:rsidR="00E90D54" w:rsidRDefault="00E90D54" w:rsidP="00C52133">
      <w:pPr>
        <w:keepNext/>
        <w:jc w:val="center"/>
        <w:sectPr w:rsidR="00E90D54" w:rsidSect="00872417">
          <w:headerReference w:type="default" r:id="rId9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C634E" w14:textId="464CFE64" w:rsidR="00C52133" w:rsidRDefault="00C52133" w:rsidP="00C52133">
      <w:pPr>
        <w:keepNext/>
        <w:jc w:val="center"/>
      </w:pPr>
      <w:r w:rsidRPr="00C52133">
        <w:rPr>
          <w:noProof/>
          <w:lang w:val="en-US"/>
        </w:rPr>
        <w:lastRenderedPageBreak/>
        <w:drawing>
          <wp:inline distT="0" distB="0" distL="0" distR="0" wp14:anchorId="1C5D56D2" wp14:editId="0B939805">
            <wp:extent cx="5518150" cy="3346450"/>
            <wp:effectExtent l="0" t="0" r="6350" b="63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D5B537F" w14:textId="59E1BD4B" w:rsidR="00C52133" w:rsidRPr="005734A6" w:rsidRDefault="00C52133" w:rsidP="006B1DE8">
      <w:pPr>
        <w:pStyle w:val="Caption"/>
        <w:jc w:val="center"/>
        <w:sectPr w:rsidR="00C52133" w:rsidRPr="005734A6" w:rsidSect="005734A6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Ref5258213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34A6">
        <w:rPr>
          <w:noProof/>
        </w:rPr>
        <w:t>2</w:t>
      </w:r>
      <w:r>
        <w:fldChar w:fldCharType="end"/>
      </w:r>
      <w:bookmarkEnd w:id="6"/>
      <w:r w:rsidR="006F6D6C">
        <w:t>: Performance</w:t>
      </w:r>
      <w:r w:rsidR="005734A6">
        <w:t xml:space="preserve"> vs. overhead </w:t>
      </w:r>
      <w:r w:rsidR="006B1DE8">
        <w:t xml:space="preserve">comparison between </w:t>
      </w:r>
      <w:r w:rsidR="00E37CEB">
        <w:t>Rel. 15 Type II</w:t>
      </w:r>
      <w:r w:rsidR="006B1DE8">
        <w:t xml:space="preserve"> and proposed frequency compression scheme</w:t>
      </w:r>
    </w:p>
    <w:p w14:paraId="3E19D42D" w14:textId="232C80F1" w:rsidR="00C52133" w:rsidRPr="00566458" w:rsidRDefault="00C52133" w:rsidP="00566458">
      <w:pPr>
        <w:rPr>
          <w:i/>
        </w:rPr>
      </w:pPr>
      <w:bookmarkStart w:id="7" w:name="_GoBack"/>
      <w:bookmarkEnd w:id="7"/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504FF076" w14:textId="49E4E70A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>simulation results are provided for the Type II overhead reduction scheme proposed in [2]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0BCD075C" w14:textId="77777777" w:rsidR="00714C59" w:rsidRDefault="00714C59" w:rsidP="00566458">
      <w:pPr>
        <w:pStyle w:val="maintext"/>
        <w:spacing w:after="120"/>
        <w:ind w:firstLineChars="0" w:firstLine="0"/>
        <w:rPr>
          <w:i/>
          <w:lang w:val="en-US"/>
        </w:rPr>
      </w:pPr>
      <w:r w:rsidRPr="00960801">
        <w:rPr>
          <w:b/>
          <w:i/>
          <w:lang w:val="en-US"/>
        </w:rPr>
        <w:t>Observation</w:t>
      </w:r>
      <w:r>
        <w:rPr>
          <w:b/>
          <w:i/>
          <w:lang w:val="en-US"/>
        </w:rPr>
        <w:t xml:space="preserve"> 1</w:t>
      </w:r>
      <w:r w:rsidRPr="00960801">
        <w:rPr>
          <w:i/>
          <w:lang w:val="en-US"/>
        </w:rPr>
        <w:t>:</w:t>
      </w:r>
      <w:r>
        <w:rPr>
          <w:i/>
          <w:lang w:val="en-US"/>
        </w:rPr>
        <w:t xml:space="preserve"> The proposed frequency domain compression with M = 8 DFT beams achieves good performance-overhead tradeoff – when compared with no frequency domain compression, ~38% overhead can be reduced with a small performance loss (~3% in avg. UPT).</w:t>
      </w:r>
    </w:p>
    <w:p w14:paraId="21CF7A99" w14:textId="27A1C4EA" w:rsidR="00FA7CC6" w:rsidRPr="00566458" w:rsidRDefault="008C1C2A" w:rsidP="00566458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 w:rsidRPr="00960801">
        <w:rPr>
          <w:b/>
          <w:i/>
          <w:lang w:val="en-US"/>
        </w:rPr>
        <w:t>Observation</w:t>
      </w:r>
      <w:r>
        <w:rPr>
          <w:b/>
          <w:i/>
          <w:lang w:val="en-US"/>
        </w:rPr>
        <w:t xml:space="preserve"> 2</w:t>
      </w:r>
      <w:r w:rsidRPr="00960801">
        <w:rPr>
          <w:i/>
          <w:lang w:val="en-US"/>
        </w:rPr>
        <w:t>:</w:t>
      </w:r>
      <w:r>
        <w:rPr>
          <w:i/>
          <w:lang w:val="en-US"/>
        </w:rPr>
        <w:t xml:space="preserve"> </w:t>
      </w:r>
      <w:r w:rsidR="002C31B6">
        <w:rPr>
          <w:i/>
          <w:lang w:val="en-US"/>
        </w:rPr>
        <w:t>W</w:t>
      </w:r>
      <w:r>
        <w:rPr>
          <w:i/>
          <w:lang w:val="en-US"/>
        </w:rPr>
        <w:t>hen compared with Rel. Type II CSI, the proposed scheme can reduce overhead by ~30% while maintaining similar performance (</w:t>
      </w:r>
      <w:r w:rsidRPr="00E90D54">
        <w:rPr>
          <w:i/>
          <w:lang w:val="en-US"/>
        </w:rPr>
        <w:t xml:space="preserve">&lt; </w:t>
      </w:r>
      <w:r>
        <w:rPr>
          <w:i/>
          <w:lang w:val="en-US"/>
        </w:rPr>
        <w:t xml:space="preserve">2% loss in avg. </w:t>
      </w:r>
      <w:r w:rsidRPr="00E90D54">
        <w:rPr>
          <w:i/>
          <w:lang w:val="en-US"/>
        </w:rPr>
        <w:t>performance</w:t>
      </w:r>
      <w:r>
        <w:rPr>
          <w:i/>
          <w:lang w:val="en-US"/>
        </w:rPr>
        <w:t>).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0A5136F" w14:textId="77777777" w:rsidR="002D6E3A" w:rsidRDefault="002D6E3A" w:rsidP="002D6E3A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8" w:name="_Ref465786808"/>
      <w:r>
        <w:rPr>
          <w:rFonts w:cs="Times New Roman"/>
          <w:lang w:val="en-US" w:eastAsia="ko-KR"/>
        </w:rPr>
        <w:t>RP-182067, “</w:t>
      </w:r>
      <w:r w:rsidRPr="00BE65D9">
        <w:rPr>
          <w:rFonts w:cs="Times New Roman"/>
          <w:lang w:val="en-US" w:eastAsia="ko-KR"/>
        </w:rPr>
        <w:t>Revised WID: Enhancements on MIMO for NR</w:t>
      </w:r>
      <w:r>
        <w:rPr>
          <w:rFonts w:cs="Times New Roman"/>
          <w:lang w:val="en-US" w:eastAsia="ko-KR"/>
        </w:rPr>
        <w:t>,” Samsung</w:t>
      </w:r>
    </w:p>
    <w:bookmarkEnd w:id="8"/>
    <w:p w14:paraId="47E76590" w14:textId="3917B67A" w:rsidR="002D6E3A" w:rsidRDefault="009D5606" w:rsidP="009D5606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9D5606">
        <w:rPr>
          <w:rFonts w:cs="Times New Roman"/>
          <w:lang w:val="en-US" w:eastAsia="ko-KR"/>
        </w:rPr>
        <w:t>R1-1810884</w:t>
      </w:r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462B4B62" w14:textId="77777777" w:rsidR="0034694B" w:rsidRPr="00D04E23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05F7CC1E" w14:textId="2272ABF0" w:rsidR="0034694B" w:rsidRDefault="0034694B" w:rsidP="0034694B">
      <w:pPr>
        <w:pStyle w:val="Caption"/>
        <w:keepNext/>
        <w:jc w:val="center"/>
      </w:pPr>
      <w:bookmarkStart w:id="9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734A6">
        <w:rPr>
          <w:noProof/>
        </w:rPr>
        <w:t>1</w:t>
      </w:r>
      <w:r>
        <w:fldChar w:fldCharType="end"/>
      </w:r>
      <w:bookmarkEnd w:id="9"/>
      <w:r>
        <w:t>: Simulation assumptions</w:t>
      </w:r>
    </w:p>
    <w:tbl>
      <w:tblPr>
        <w:tblStyle w:val="GridTable4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6754"/>
      </w:tblGrid>
      <w:tr w:rsidR="0034694B" w:rsidRPr="009E5403" w14:paraId="54ADA308" w14:textId="77777777" w:rsidTr="00CA05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0E5E4264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Parameters</w:t>
            </w:r>
          </w:p>
        </w:tc>
        <w:tc>
          <w:tcPr>
            <w:tcW w:w="6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2B5AC7BF" w14:textId="0FCA69ED" w:rsidR="0034694B" w:rsidRPr="009E5403" w:rsidRDefault="0034694B" w:rsidP="00AA1CD6">
            <w:pPr>
              <w:spacing w:befor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34694B" w:rsidRPr="009E5403" w14:paraId="48102796" w14:textId="77777777" w:rsidTr="000B5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4545009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Simulation Type</w:t>
            </w:r>
          </w:p>
        </w:tc>
        <w:tc>
          <w:tcPr>
            <w:tcW w:w="6754" w:type="dxa"/>
            <w:vAlign w:val="center"/>
            <w:hideMark/>
          </w:tcPr>
          <w:p w14:paraId="7D9E96E7" w14:textId="18A2108C" w:rsidR="0034694B" w:rsidRPr="009E5403" w:rsidRDefault="0034694B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FTP1, 50%</w:t>
            </w:r>
            <w:r>
              <w:t xml:space="preserve"> </w:t>
            </w:r>
            <w:r w:rsidRPr="009E5403">
              <w:t>RU, Packet size = 500 kB</w:t>
            </w:r>
          </w:p>
        </w:tc>
      </w:tr>
      <w:tr w:rsidR="0034694B" w:rsidRPr="009E5403" w14:paraId="6E9EEF3A" w14:textId="77777777" w:rsidTr="00AA1CD6">
        <w:trPr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ECB6F26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Channel model</w:t>
            </w:r>
          </w:p>
        </w:tc>
        <w:tc>
          <w:tcPr>
            <w:tcW w:w="6754" w:type="dxa"/>
            <w:vAlign w:val="center"/>
            <w:hideMark/>
          </w:tcPr>
          <w:p w14:paraId="4D73CD7C" w14:textId="0C2BE7B5" w:rsidR="0034694B" w:rsidRPr="009E5403" w:rsidRDefault="001844C1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UMi-2</w:t>
            </w:r>
            <w:r w:rsidR="0034694B" w:rsidRPr="009E5403">
              <w:t>GHz</w:t>
            </w:r>
          </w:p>
        </w:tc>
      </w:tr>
      <w:tr w:rsidR="0034694B" w:rsidRPr="009E5403" w14:paraId="2BC0CEE8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624C7476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 xml:space="preserve">Number of </w:t>
            </w:r>
            <w:proofErr w:type="spellStart"/>
            <w:r w:rsidRPr="009E5403">
              <w:t>gNB</w:t>
            </w:r>
            <w:proofErr w:type="spellEnd"/>
            <w:r w:rsidRPr="009E5403">
              <w:t xml:space="preserve"> (H,V) antenna elements, (M,N,P)</w:t>
            </w:r>
          </w:p>
        </w:tc>
        <w:tc>
          <w:tcPr>
            <w:tcW w:w="6754" w:type="dxa"/>
            <w:vAlign w:val="center"/>
            <w:hideMark/>
          </w:tcPr>
          <w:p w14:paraId="2A1CBE64" w14:textId="1C467983" w:rsidR="0034694B" w:rsidRPr="009E5403" w:rsidRDefault="0034694B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(8,4,2), </w:t>
            </w:r>
            <w:r w:rsidR="001844C1">
              <w:t xml:space="preserve">subarray partition, </w:t>
            </w:r>
            <w:r w:rsidRPr="009E5403">
              <w:t xml:space="preserve">100° </w:t>
            </w:r>
            <w:proofErr w:type="spellStart"/>
            <w:r w:rsidRPr="009E5403">
              <w:t>downtilt</w:t>
            </w:r>
            <w:proofErr w:type="spellEnd"/>
          </w:p>
        </w:tc>
      </w:tr>
      <w:tr w:rsidR="0034694B" w:rsidRPr="009E5403" w14:paraId="10A0AC8E" w14:textId="77777777" w:rsidTr="00AA1CD6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ECE6630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(N1,N2), 1st dim = horizontal</w:t>
            </w:r>
          </w:p>
        </w:tc>
        <w:tc>
          <w:tcPr>
            <w:tcW w:w="6754" w:type="dxa"/>
            <w:vAlign w:val="center"/>
            <w:hideMark/>
          </w:tcPr>
          <w:p w14:paraId="6F32F2FC" w14:textId="0C2EC835" w:rsidR="0034694B" w:rsidRPr="009E5403" w:rsidRDefault="0034694B" w:rsidP="00CA050C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16 ports: (4,2)</w:t>
            </w:r>
          </w:p>
        </w:tc>
      </w:tr>
      <w:tr w:rsidR="0034694B" w:rsidRPr="009E5403" w14:paraId="1FD00726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7F087290" w14:textId="77777777" w:rsidR="0034694B" w:rsidRPr="009E5403" w:rsidRDefault="0034694B" w:rsidP="00AA1CD6">
            <w:pPr>
              <w:spacing w:before="0"/>
              <w:jc w:val="left"/>
            </w:pPr>
            <w:proofErr w:type="spellStart"/>
            <w:r w:rsidRPr="009E5403">
              <w:t>gNB</w:t>
            </w:r>
            <w:proofErr w:type="spellEnd"/>
            <w:r w:rsidRPr="009E5403">
              <w:t xml:space="preserve"> (H,V) antenna spacing</w:t>
            </w:r>
          </w:p>
        </w:tc>
        <w:tc>
          <w:tcPr>
            <w:tcW w:w="6754" w:type="dxa"/>
            <w:vAlign w:val="center"/>
            <w:hideMark/>
          </w:tcPr>
          <w:p w14:paraId="021FFA3F" w14:textId="77777777" w:rsidR="0034694B" w:rsidRPr="009E5403" w:rsidRDefault="0034694B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(0.5, 0.8)λ</w:t>
            </w:r>
          </w:p>
        </w:tc>
      </w:tr>
      <w:tr w:rsidR="0034694B" w:rsidRPr="009E5403" w14:paraId="3E955922" w14:textId="77777777" w:rsidTr="00AA1CD6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AAF027E" w14:textId="77777777" w:rsidR="0034694B" w:rsidRPr="009E5403" w:rsidRDefault="0034694B" w:rsidP="00AA1CD6">
            <w:pPr>
              <w:spacing w:before="0"/>
              <w:jc w:val="left"/>
            </w:pPr>
            <w:proofErr w:type="spellStart"/>
            <w:r w:rsidRPr="009E5403">
              <w:t>gNB</w:t>
            </w:r>
            <w:proofErr w:type="spellEnd"/>
            <w:r w:rsidRPr="009E5403">
              <w:t>/UE antenna polarizations</w:t>
            </w:r>
          </w:p>
        </w:tc>
        <w:tc>
          <w:tcPr>
            <w:tcW w:w="6754" w:type="dxa"/>
            <w:vAlign w:val="center"/>
            <w:hideMark/>
          </w:tcPr>
          <w:p w14:paraId="76FF6367" w14:textId="77777777" w:rsidR="0034694B" w:rsidRPr="009E5403" w:rsidRDefault="0034694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E5403">
              <w:t>gNB</w:t>
            </w:r>
            <w:proofErr w:type="spellEnd"/>
            <w:r w:rsidRPr="009E5403">
              <w:t>: (+45°,-45°); UE: (0°, 90°)</w:t>
            </w:r>
          </w:p>
        </w:tc>
      </w:tr>
      <w:tr w:rsidR="0034694B" w:rsidRPr="009E5403" w14:paraId="4646FEC9" w14:textId="77777777" w:rsidTr="00D353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2894ACB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Number of UE antennas</w:t>
            </w:r>
          </w:p>
        </w:tc>
        <w:tc>
          <w:tcPr>
            <w:tcW w:w="6754" w:type="dxa"/>
            <w:vAlign w:val="center"/>
            <w:hideMark/>
          </w:tcPr>
          <w:p w14:paraId="3A2C084B" w14:textId="4B6C9C3A" w:rsidR="0034694B" w:rsidRPr="009E5403" w:rsidRDefault="0034694B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2, dual-pol</w:t>
            </w:r>
          </w:p>
        </w:tc>
      </w:tr>
      <w:tr w:rsidR="00CA050C" w:rsidRPr="009E5403" w14:paraId="74290C2E" w14:textId="77777777" w:rsidTr="00533977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CA9412F" w14:textId="77777777" w:rsidR="00CA050C" w:rsidRPr="009E5403" w:rsidRDefault="00CA050C" w:rsidP="00AA1CD6">
            <w:pPr>
              <w:spacing w:before="0"/>
              <w:jc w:val="left"/>
            </w:pPr>
            <w:r w:rsidRPr="009E5403">
              <w:lastRenderedPageBreak/>
              <w:t>SU/MU pre-coding</w:t>
            </w:r>
          </w:p>
        </w:tc>
        <w:tc>
          <w:tcPr>
            <w:tcW w:w="6754" w:type="dxa"/>
            <w:vAlign w:val="center"/>
            <w:hideMark/>
          </w:tcPr>
          <w:p w14:paraId="66CA2637" w14:textId="4869C259" w:rsidR="00CA050C" w:rsidRPr="009E5403" w:rsidRDefault="00CA050C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SLNR</w:t>
            </w:r>
          </w:p>
        </w:tc>
      </w:tr>
      <w:tr w:rsidR="0034694B" w:rsidRPr="009E5403" w14:paraId="49D960FF" w14:textId="77777777" w:rsidTr="00100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65C538BE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Scheduling</w:t>
            </w:r>
          </w:p>
        </w:tc>
        <w:tc>
          <w:tcPr>
            <w:tcW w:w="6754" w:type="dxa"/>
            <w:vAlign w:val="center"/>
            <w:hideMark/>
          </w:tcPr>
          <w:p w14:paraId="5BAAFDD9" w14:textId="7955B9C8" w:rsidR="0034694B" w:rsidRPr="009E5403" w:rsidRDefault="0034694B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SU/MU dynamic scheduling based on PF metric; up to 4 layers</w:t>
            </w:r>
          </w:p>
        </w:tc>
      </w:tr>
      <w:tr w:rsidR="0034694B" w:rsidRPr="009E5403" w14:paraId="04EFE680" w14:textId="77777777" w:rsidTr="00AA1CD6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336AF772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Channel estimation</w:t>
            </w:r>
          </w:p>
        </w:tc>
        <w:tc>
          <w:tcPr>
            <w:tcW w:w="6754" w:type="dxa"/>
            <w:vAlign w:val="center"/>
            <w:hideMark/>
          </w:tcPr>
          <w:p w14:paraId="29A39DF7" w14:textId="1F67F328" w:rsidR="0034694B" w:rsidRPr="009E5403" w:rsidRDefault="001844C1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Non-ideal</w:t>
            </w:r>
          </w:p>
        </w:tc>
      </w:tr>
      <w:tr w:rsidR="0034694B" w:rsidRPr="009E5403" w14:paraId="72938986" w14:textId="77777777" w:rsidTr="00CA2E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26A60D8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Transmission rank (per UE)</w:t>
            </w:r>
          </w:p>
        </w:tc>
        <w:tc>
          <w:tcPr>
            <w:tcW w:w="6754" w:type="dxa"/>
            <w:vAlign w:val="center"/>
            <w:hideMark/>
          </w:tcPr>
          <w:p w14:paraId="3A087C41" w14:textId="2ED73D07" w:rsidR="0034694B" w:rsidRPr="009E5403" w:rsidRDefault="0034694B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1,2</w:t>
            </w:r>
          </w:p>
        </w:tc>
      </w:tr>
      <w:tr w:rsidR="0034694B" w:rsidRPr="009E5403" w14:paraId="1E39A6B6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10FD790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Receiver</w:t>
            </w:r>
          </w:p>
        </w:tc>
        <w:tc>
          <w:tcPr>
            <w:tcW w:w="6754" w:type="dxa"/>
            <w:vAlign w:val="center"/>
            <w:hideMark/>
          </w:tcPr>
          <w:p w14:paraId="77CD68C8" w14:textId="77777777" w:rsidR="0034694B" w:rsidRPr="009E5403" w:rsidRDefault="0034694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MMSE-IRC</w:t>
            </w:r>
          </w:p>
        </w:tc>
      </w:tr>
      <w:tr w:rsidR="0034694B" w:rsidRPr="009E5403" w14:paraId="72FBA599" w14:textId="77777777" w:rsidTr="005716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4BD56E1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CSI schemes</w:t>
            </w:r>
          </w:p>
        </w:tc>
        <w:tc>
          <w:tcPr>
            <w:tcW w:w="6754" w:type="dxa"/>
            <w:vAlign w:val="center"/>
            <w:hideMark/>
          </w:tcPr>
          <w:p w14:paraId="2D046B20" w14:textId="77777777" w:rsidR="0034694B" w:rsidRPr="009E5403" w:rsidRDefault="0034694B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Ref: Rel. 15 NR Type II CSI</w:t>
            </w:r>
          </w:p>
          <w:p w14:paraId="53F82DA3" w14:textId="01FBE5D4" w:rsidR="0034694B" w:rsidRPr="009E5403" w:rsidRDefault="0034694B" w:rsidP="0034694B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Candidate schemes: for Type II CSI overhead reduction</w:t>
            </w:r>
          </w:p>
        </w:tc>
      </w:tr>
      <w:tr w:rsidR="0034694B" w:rsidRPr="009E5403" w14:paraId="31BB7AE1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3B0CC130" w14:textId="77777777" w:rsidR="0034694B" w:rsidRPr="009E5403" w:rsidRDefault="0034694B" w:rsidP="00AA1CD6">
            <w:pPr>
              <w:spacing w:before="0"/>
              <w:jc w:val="left"/>
            </w:pPr>
            <w:r w:rsidRPr="009E5403">
              <w:t>Overhead</w:t>
            </w:r>
          </w:p>
        </w:tc>
        <w:tc>
          <w:tcPr>
            <w:tcW w:w="6754" w:type="dxa"/>
            <w:vAlign w:val="center"/>
            <w:hideMark/>
          </w:tcPr>
          <w:p w14:paraId="735C29C6" w14:textId="77777777" w:rsidR="0034694B" w:rsidRPr="009E5403" w:rsidRDefault="0034694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DMRS, CSI-RS, PDCCH </w:t>
            </w:r>
          </w:p>
        </w:tc>
      </w:tr>
    </w:tbl>
    <w:p w14:paraId="1C355C86" w14:textId="77777777" w:rsidR="0034694B" w:rsidRPr="00DC19E1" w:rsidRDefault="0034694B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34694B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74AFE" w14:textId="77777777" w:rsidR="00861451" w:rsidRDefault="00861451">
      <w:r>
        <w:separator/>
      </w:r>
    </w:p>
  </w:endnote>
  <w:endnote w:type="continuationSeparator" w:id="0">
    <w:p w14:paraId="3FC39D6A" w14:textId="77777777" w:rsidR="00861451" w:rsidRDefault="0086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3C0FD" w14:textId="77777777" w:rsidR="00861451" w:rsidRDefault="00861451">
      <w:r>
        <w:separator/>
      </w:r>
    </w:p>
  </w:footnote>
  <w:footnote w:type="continuationSeparator" w:id="0">
    <w:p w14:paraId="573DADCA" w14:textId="77777777" w:rsidR="00861451" w:rsidRDefault="0086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150E19"/>
    <w:multiLevelType w:val="hybridMultilevel"/>
    <w:tmpl w:val="1AC698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421BE"/>
    <w:multiLevelType w:val="hybridMultilevel"/>
    <w:tmpl w:val="83920822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88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41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E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EE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C6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C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7439A5"/>
    <w:multiLevelType w:val="hybridMultilevel"/>
    <w:tmpl w:val="46E2E2F2"/>
    <w:lvl w:ilvl="0" w:tplc="893C6B8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415E4"/>
    <w:multiLevelType w:val="hybridMultilevel"/>
    <w:tmpl w:val="EFB69C24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11D575B"/>
    <w:multiLevelType w:val="hybridMultilevel"/>
    <w:tmpl w:val="1968E886"/>
    <w:lvl w:ilvl="0" w:tplc="E26A9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21"/>
  </w:num>
  <w:num w:numId="4">
    <w:abstractNumId w:val="28"/>
  </w:num>
  <w:num w:numId="5">
    <w:abstractNumId w:val="1"/>
  </w:num>
  <w:num w:numId="6">
    <w:abstractNumId w:val="18"/>
  </w:num>
  <w:num w:numId="7">
    <w:abstractNumId w:val="5"/>
  </w:num>
  <w:num w:numId="8">
    <w:abstractNumId w:val="3"/>
  </w:num>
  <w:num w:numId="9">
    <w:abstractNumId w:val="25"/>
  </w:num>
  <w:num w:numId="10">
    <w:abstractNumId w:val="32"/>
  </w:num>
  <w:num w:numId="11">
    <w:abstractNumId w:val="11"/>
  </w:num>
  <w:num w:numId="12">
    <w:abstractNumId w:val="8"/>
  </w:num>
  <w:num w:numId="13">
    <w:abstractNumId w:val="26"/>
  </w:num>
  <w:num w:numId="14">
    <w:abstractNumId w:val="29"/>
  </w:num>
  <w:num w:numId="15">
    <w:abstractNumId w:val="23"/>
  </w:num>
  <w:num w:numId="16">
    <w:abstractNumId w:val="30"/>
  </w:num>
  <w:num w:numId="17">
    <w:abstractNumId w:val="19"/>
  </w:num>
  <w:num w:numId="18">
    <w:abstractNumId w:val="0"/>
  </w:num>
  <w:num w:numId="19">
    <w:abstractNumId w:val="24"/>
  </w:num>
  <w:num w:numId="20">
    <w:abstractNumId w:val="20"/>
  </w:num>
  <w:num w:numId="21">
    <w:abstractNumId w:val="27"/>
  </w:num>
  <w:num w:numId="22">
    <w:abstractNumId w:val="7"/>
  </w:num>
  <w:num w:numId="23">
    <w:abstractNumId w:val="4"/>
  </w:num>
  <w:num w:numId="24">
    <w:abstractNumId w:val="14"/>
  </w:num>
  <w:num w:numId="25">
    <w:abstractNumId w:val="16"/>
  </w:num>
  <w:num w:numId="26">
    <w:abstractNumId w:val="31"/>
  </w:num>
  <w:num w:numId="27">
    <w:abstractNumId w:val="9"/>
  </w:num>
  <w:num w:numId="28">
    <w:abstractNumId w:val="12"/>
  </w:num>
  <w:num w:numId="29">
    <w:abstractNumId w:val="15"/>
  </w:num>
  <w:num w:numId="30">
    <w:abstractNumId w:val="22"/>
  </w:num>
  <w:num w:numId="31">
    <w:abstractNumId w:val="13"/>
  </w:num>
  <w:num w:numId="32">
    <w:abstractNumId w:val="2"/>
  </w:num>
  <w:num w:numId="33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6D2C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6F7B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0D05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3683824402652579E-2"/>
          <c:y val="3.8247665090016522E-2"/>
          <c:w val="0.9665506514601826"/>
          <c:h val="0.7523707136358578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Freq comp, M=2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5% UPT</c:v>
                </c:pt>
                <c:pt idx="2">
                  <c:v>overhead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0.82865509606456689</c:v>
                </c:pt>
                <c:pt idx="1">
                  <c:v>0.73282352941176476</c:v>
                </c:pt>
                <c:pt idx="2">
                  <c:v>0.15379999999999999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66-49ED-8ADB-53F33365C73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Freq comp, M=4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5% UPT</c:v>
                </c:pt>
                <c:pt idx="2">
                  <c:v>overhead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0.90918505821012785</c:v>
                </c:pt>
                <c:pt idx="1">
                  <c:v>0.86835294117647066</c:v>
                </c:pt>
                <c:pt idx="2">
                  <c:v>0.30769999999999997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66-49ED-8ADB-53F33365C733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Freq comp, M=8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5% UPT</c:v>
                </c:pt>
                <c:pt idx="2">
                  <c:v>overhead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0.97128776515963156</c:v>
                </c:pt>
                <c:pt idx="1">
                  <c:v>0.95470588235294118</c:v>
                </c:pt>
                <c:pt idx="2">
                  <c:v>0.61539999999999995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F66-49ED-8ADB-53F33365C733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No freq comp (M=13)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5% UPT</c:v>
                </c:pt>
                <c:pt idx="2">
                  <c:v>overhead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3B4-42DB-904B-86CB1384434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459514448"/>
        <c:axId val="459515432"/>
      </c:barChart>
      <c:catAx>
        <c:axId val="4595144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9515432"/>
        <c:crosses val="autoZero"/>
        <c:auto val="1"/>
        <c:lblAlgn val="ctr"/>
        <c:lblOffset val="100"/>
        <c:noMultiLvlLbl val="0"/>
      </c:catAx>
      <c:valAx>
        <c:axId val="459515432"/>
        <c:scaling>
          <c:orientation val="minMax"/>
          <c:max val="1.2"/>
          <c:min val="0"/>
        </c:scaling>
        <c:delete val="1"/>
        <c:axPos val="l"/>
        <c:numFmt formatCode="0%" sourceLinked="0"/>
        <c:majorTickMark val="out"/>
        <c:minorTickMark val="none"/>
        <c:tickLblPos val="nextTo"/>
        <c:crossAx val="459514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3577720291615107E-2"/>
          <c:y val="0.917973111839823"/>
          <c:w val="0.95073533012926836"/>
          <c:h val="8.202688816017698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3683824402652579E-2"/>
          <c:y val="9.4417700157148607E-2"/>
          <c:w val="0.9665506514601826"/>
          <c:h val="0.6586853566381125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Rel 15, Type II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5% UPT</c:v>
                </c:pt>
                <c:pt idx="2">
                  <c:v>Rank 2 overhead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4E-4C5A-8399-DD644D85267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Freq comp, quan coef 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5% UPT</c:v>
                </c:pt>
                <c:pt idx="2">
                  <c:v>Rank 2 overhead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0.98125697571489034</c:v>
                </c:pt>
                <c:pt idx="1">
                  <c:v>0.96682527094898241</c:v>
                </c:pt>
                <c:pt idx="2">
                  <c:v>0.69299999999999995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C4E-4C5A-8399-DD644D85267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Freq comp, quan coef 2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5% UPT</c:v>
                </c:pt>
                <c:pt idx="2">
                  <c:v>Rank 2 overhead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0.99445791479043977</c:v>
                </c:pt>
                <c:pt idx="1">
                  <c:v>0.98665080623843526</c:v>
                </c:pt>
                <c:pt idx="2">
                  <c:v>0.83499999999999996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C4E-4C5A-8399-DD644D85267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459514448"/>
        <c:axId val="459515432"/>
      </c:barChart>
      <c:catAx>
        <c:axId val="4595144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9515432"/>
        <c:crosses val="autoZero"/>
        <c:auto val="1"/>
        <c:lblAlgn val="ctr"/>
        <c:lblOffset val="100"/>
        <c:noMultiLvlLbl val="0"/>
      </c:catAx>
      <c:valAx>
        <c:axId val="459515432"/>
        <c:scaling>
          <c:orientation val="minMax"/>
          <c:min val="0.60000000000000009"/>
        </c:scaling>
        <c:delete val="1"/>
        <c:axPos val="l"/>
        <c:numFmt formatCode="0%" sourceLinked="0"/>
        <c:majorTickMark val="out"/>
        <c:minorTickMark val="none"/>
        <c:tickLblPos val="nextTo"/>
        <c:crossAx val="459514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3577759023532686E-2"/>
          <c:y val="0.86571399728880039"/>
          <c:w val="0.94351058978660607"/>
          <c:h val="0.1208531625854460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197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64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1064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2128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064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197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64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1064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2128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064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DAFF2-6E14-4D2E-8C25-6E1D5492C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30</cp:revision>
  <cp:lastPrinted>2012-03-15T10:36:00Z</cp:lastPrinted>
  <dcterms:created xsi:type="dcterms:W3CDTF">2018-09-25T18:22:00Z</dcterms:created>
  <dcterms:modified xsi:type="dcterms:W3CDTF">2018-09-27T23:36:00Z</dcterms:modified>
</cp:coreProperties>
</file>